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159"/>
        <w:gridCol w:w="159"/>
      </w:tblGrid>
      <w:tr w:rsidR="003D1FE2" w:rsidRPr="003D1FE2" w14:paraId="16595BD5" w14:textId="77777777" w:rsidTr="003D1F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0" w:type="dxa"/>
              <w:right w:w="30" w:type="dxa"/>
            </w:tcMar>
            <w:vAlign w:val="center"/>
          </w:tcPr>
          <w:p w14:paraId="38C98F95" w14:textId="77777777" w:rsidR="009D150A" w:rsidRPr="00DC2B2E" w:rsidRDefault="009D150A" w:rsidP="00CF0AD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1F3864" w:themeColor="accent5" w:themeShade="80"/>
                <w:sz w:val="23"/>
                <w:szCs w:val="23"/>
                <w:lang w:eastAsia="ru-RU"/>
              </w:rPr>
            </w:pPr>
            <w:r w:rsidRPr="00DC2B2E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3"/>
                <w:szCs w:val="23"/>
                <w:lang w:eastAsia="ru-RU"/>
              </w:rPr>
              <w:t>ИНСТРУКЦИЯ ПО МЕДИЦИНСКОМУ ПРИМЕНЕНИЮ</w:t>
            </w:r>
          </w:p>
          <w:p w14:paraId="27960E3D" w14:textId="160A9299" w:rsidR="009D150A" w:rsidRPr="00DC2B2E" w:rsidRDefault="009D150A" w:rsidP="00CF0AD0">
            <w:pPr>
              <w:spacing w:after="0"/>
              <w:jc w:val="center"/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>Проецин</w:t>
            </w:r>
            <w:proofErr w:type="spellEnd"/>
            <w:r w:rsidRPr="00DC2B2E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vertAlign w:val="superscript"/>
                <w:lang w:eastAsia="ru-RU"/>
              </w:rPr>
              <w:t>®</w:t>
            </w:r>
            <w:r w:rsidRPr="00DC2B2E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Pr="00DC2B2E"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  <w:t>таблетки №30</w:t>
            </w:r>
          </w:p>
          <w:p w14:paraId="3DFF9E96" w14:textId="77777777" w:rsidR="00CF0AD0" w:rsidRDefault="00CF0AD0" w:rsidP="00ED28D2">
            <w:pPr>
              <w:spacing w:after="0"/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</w:pPr>
          </w:p>
          <w:p w14:paraId="7E8C0BDB" w14:textId="77777777" w:rsidR="00CF0AD0" w:rsidRDefault="00CF0AD0" w:rsidP="00ED28D2">
            <w:pPr>
              <w:spacing w:after="0"/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</w:pPr>
          </w:p>
          <w:p w14:paraId="0B15C459" w14:textId="036AA9E2" w:rsidR="003D1FE2" w:rsidRDefault="009D150A" w:rsidP="00ED28D2">
            <w:pPr>
              <w:spacing w:after="0"/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</w:pPr>
            <w:r w:rsidRPr="00DC2B2E"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  <w:t>Торговое название:</w:t>
            </w:r>
            <w:r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1F3864" w:themeColor="accent5" w:themeShade="80"/>
                <w:sz w:val="23"/>
                <w:szCs w:val="23"/>
                <w:lang w:eastAsia="ru-RU"/>
              </w:rPr>
              <w:t>Проецин</w:t>
            </w:r>
            <w:proofErr w:type="spellEnd"/>
            <w:proofErr w:type="gramStart"/>
            <w:r w:rsidRPr="00DC2B2E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vertAlign w:val="superscript"/>
                <w:lang w:eastAsia="ru-RU"/>
              </w:rPr>
              <w:t>®</w:t>
            </w:r>
            <w:r w:rsidRPr="00DC2B2E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="002F1286">
              <w:rPr>
                <w:rFonts w:ascii="Arial" w:eastAsia="Calibri" w:hAnsi="Arial" w:cs="Arial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>.</w:t>
            </w:r>
            <w:proofErr w:type="gramEnd"/>
          </w:p>
          <w:p w14:paraId="1EE66056" w14:textId="2C5D7452" w:rsidR="00ED28D2" w:rsidRPr="003D1FE2" w:rsidRDefault="00ED28D2" w:rsidP="00ED28D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0" w:type="dxa"/>
              <w:right w:w="30" w:type="dxa"/>
            </w:tcMar>
            <w:vAlign w:val="center"/>
          </w:tcPr>
          <w:p w14:paraId="070A87F5" w14:textId="35EF6A42" w:rsidR="003D1FE2" w:rsidRPr="003D1FE2" w:rsidRDefault="003D1FE2" w:rsidP="003D1FE2">
            <w:pPr>
              <w:spacing w:before="75" w:after="75" w:line="255" w:lineRule="atLeast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0" w:type="dxa"/>
              <w:right w:w="30" w:type="dxa"/>
            </w:tcMar>
            <w:vAlign w:val="center"/>
          </w:tcPr>
          <w:p w14:paraId="553CBE32" w14:textId="3CCC2C1C" w:rsidR="003D1FE2" w:rsidRPr="003D1FE2" w:rsidRDefault="003D1FE2" w:rsidP="003D1FE2">
            <w:pPr>
              <w:spacing w:after="0" w:line="180" w:lineRule="atLeast"/>
              <w:ind w:left="150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7D24C1C8" w14:textId="664B9DA3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Форма выпуска, упаковка и состав препарата </w:t>
      </w:r>
      <w:proofErr w:type="spellStart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Проецин</w:t>
      </w:r>
      <w:proofErr w:type="spellEnd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vertAlign w:val="superscript"/>
          <w:lang w:eastAsia="ru-RU"/>
          <w14:ligatures w14:val="none"/>
        </w:rPr>
        <w:t>®</w:t>
      </w:r>
    </w:p>
    <w:p w14:paraId="062B19D5" w14:textId="77777777" w:rsidR="003D1FE2" w:rsidRPr="003D1FE2" w:rsidRDefault="003D1FE2" w:rsidP="003D1FE2">
      <w:pPr>
        <w:spacing w:after="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</w:p>
    <w:p w14:paraId="3E8AC3BD" w14:textId="77777777" w:rsidR="003D1FE2" w:rsidRPr="003D1FE2" w:rsidRDefault="003D1FE2" w:rsidP="003D1FE2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b/>
          <w:bCs/>
          <w:i/>
          <w:iCs/>
          <w:color w:val="333333"/>
          <w:kern w:val="0"/>
          <w:sz w:val="20"/>
          <w:szCs w:val="20"/>
          <w:lang w:eastAsia="ru-RU"/>
          <w14:ligatures w14:val="none"/>
        </w:rPr>
        <w:t>Таблетки, покрытые оболочкой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зеленого цвета, круглые, двояковыпуклые, с гладкой поверхностью; на изломе видны три слоя: внутренний - от светло-коричневого с зеленоватым оттенком до коричневого цвета, допустимы белые вкрапления; средний - белого цвета; наружный - зеленого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  <w:gridCol w:w="1050"/>
      </w:tblGrid>
      <w:tr w:rsidR="003D1FE2" w:rsidRPr="003D1FE2" w14:paraId="281941F1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40ED0" w14:textId="77777777" w:rsidR="003D1FE2" w:rsidRPr="005D1E4A" w:rsidRDefault="003D1FE2" w:rsidP="003D1FE2">
            <w:pPr>
              <w:spacing w:after="0"/>
              <w:rPr>
                <w:rFonts w:ascii="Arial" w:eastAsia="Times New Roman" w:hAnsi="Arial" w:cs="Arial"/>
                <w:color w:val="333333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3923A5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1 таб.</w:t>
            </w:r>
          </w:p>
        </w:tc>
      </w:tr>
      <w:tr w:rsidR="003D1FE2" w:rsidRPr="003D1FE2" w14:paraId="5CA91CCE" w14:textId="77777777"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037B96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измельченное лекарственное растительное сырье:</w:t>
            </w:r>
          </w:p>
        </w:tc>
      </w:tr>
      <w:tr w:rsidR="003D1FE2" w:rsidRPr="003D1FE2" w14:paraId="3AC4A318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C2F9A7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горечавки желтой корни (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Gentianae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luteae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radicibus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F06E4E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6 мг</w:t>
            </w:r>
          </w:p>
        </w:tc>
      </w:tr>
      <w:tr w:rsidR="003D1FE2" w:rsidRPr="003D1FE2" w14:paraId="306E4CD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B193D5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первоцвета цветки (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Primulae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flores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810A20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18 мг</w:t>
            </w:r>
          </w:p>
        </w:tc>
      </w:tr>
      <w:tr w:rsidR="003D1FE2" w:rsidRPr="003D1FE2" w14:paraId="58B52786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876898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щавеля трава (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Rumicis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herbae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C44C6F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18 мг</w:t>
            </w:r>
          </w:p>
        </w:tc>
      </w:tr>
      <w:tr w:rsidR="003D1FE2" w:rsidRPr="003D1FE2" w14:paraId="1351BDF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BA1A6B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бузины черной цветки (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Sambuci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nigrae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flores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94536F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18 мг</w:t>
            </w:r>
          </w:p>
        </w:tc>
      </w:tr>
      <w:tr w:rsidR="003D1FE2" w:rsidRPr="003D1FE2" w14:paraId="0E946404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F265A2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вербены лекарственной трава (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Verbenae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officinale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herbae</w:t>
            </w:r>
            <w:proofErr w:type="spellEnd"/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31BFB6" w14:textId="77777777" w:rsidR="003D1FE2" w:rsidRPr="005D1E4A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5D1E4A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18 мг</w:t>
            </w:r>
          </w:p>
        </w:tc>
      </w:tr>
    </w:tbl>
    <w:p w14:paraId="6DCD9816" w14:textId="77777777" w:rsidR="003D1FE2" w:rsidRPr="003D1FE2" w:rsidRDefault="003D1FE2" w:rsidP="003D1FE2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Вспомогательные вещества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: желатин, лактозы моногидрат, крахмал картофельный, кремния диоксид коллоидный безводный, сорбитол, стеариновая кислота, сополимер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бутилметакрилата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основной, кальция карбонат (Е170), клещевины обыкновенной семян масло (касторовое масло),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хлорофиллина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медный комплекс (Е141) (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хлорофиллина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медный комплекс, глюкозы сироп), декстрин, глюкоза жидкая, индигокармина лак алюминиевый (Е132) (индигокармин, алюминия гидроксид), магния оксид, крахмал кукурузный, воск горный гликолевый, рибофлавин (Е101), шеллак, сахароза, тальк, титана диоксид (Е171).</w:t>
      </w:r>
    </w:p>
    <w:p w14:paraId="02D2DF88" w14:textId="77777777" w:rsidR="003D1FE2" w:rsidRDefault="003D1FE2" w:rsidP="003D1FE2">
      <w:pPr>
        <w:spacing w:before="150" w:after="150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20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шт. - блистеры (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3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) - пачки картонные.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br/>
      </w:r>
    </w:p>
    <w:p w14:paraId="3F34CEA5" w14:textId="0477CBD2" w:rsidR="003D1FE2" w:rsidRPr="00CF0AD0" w:rsidRDefault="003D1FE2" w:rsidP="003D1FE2">
      <w:pPr>
        <w:spacing w:before="150" w:after="150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Клинико-фармакологическая группа:</w:t>
      </w:r>
      <w:r w:rsidRPr="00546916">
        <w:rPr>
          <w:rFonts w:ascii="Arial" w:eastAsia="Times New Roman" w:hAnsi="Arial" w:cs="Arial"/>
          <w:color w:val="1F3864" w:themeColor="accent5" w:themeShade="80"/>
          <w:kern w:val="0"/>
          <w:sz w:val="21"/>
          <w:szCs w:val="21"/>
          <w:lang w:eastAsia="ru-RU"/>
          <w14:ligatures w14:val="none"/>
        </w:rPr>
        <w:t> </w:t>
      </w:r>
      <w:hyperlink r:id="rId5" w:history="1"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 xml:space="preserve">Комбинированный препарат растительного происхождения с </w:t>
        </w:r>
        <w:proofErr w:type="spellStart"/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секретолитическим</w:t>
        </w:r>
        <w:proofErr w:type="spellEnd"/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 xml:space="preserve">, </w:t>
        </w:r>
        <w:proofErr w:type="spellStart"/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секретомоторным</w:t>
        </w:r>
        <w:proofErr w:type="spellEnd"/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, противовоспалительным и противовирусным действием</w:t>
        </w:r>
      </w:hyperlink>
    </w:p>
    <w:p w14:paraId="67E85853" w14:textId="77777777" w:rsidR="003D1FE2" w:rsidRPr="00CF0AD0" w:rsidRDefault="003D1FE2" w:rsidP="003D1FE2">
      <w:pPr>
        <w:spacing w:after="0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proofErr w:type="gramStart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Фармако-терапевтическая</w:t>
      </w:r>
      <w:proofErr w:type="gramEnd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 группа:</w:t>
      </w:r>
      <w:r w:rsidRPr="00546916">
        <w:rPr>
          <w:rFonts w:ascii="Arial" w:eastAsia="Times New Roman" w:hAnsi="Arial" w:cs="Arial"/>
          <w:color w:val="1F3864" w:themeColor="accent5" w:themeShade="80"/>
          <w:kern w:val="0"/>
          <w:sz w:val="21"/>
          <w:szCs w:val="21"/>
          <w:lang w:eastAsia="ru-RU"/>
          <w14:ligatures w14:val="none"/>
        </w:rPr>
        <w:t> </w:t>
      </w:r>
      <w:hyperlink r:id="rId6" w:history="1">
        <w:r w:rsidRPr="00CF0AD0">
          <w:rPr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Другие препараты для лечения простудных заболеваний</w:t>
        </w:r>
      </w:hyperlink>
    </w:p>
    <w:p w14:paraId="640EC766" w14:textId="77777777" w:rsidR="00DC77EE" w:rsidRPr="003D1FE2" w:rsidRDefault="00DC77EE" w:rsidP="003D1FE2">
      <w:pPr>
        <w:spacing w:after="0"/>
        <w:rPr>
          <w:rFonts w:ascii="Arial" w:eastAsia="Times New Roman" w:hAnsi="Arial" w:cs="Arial"/>
          <w:color w:val="70AD47" w:themeColor="accent6"/>
          <w:kern w:val="0"/>
          <w:sz w:val="21"/>
          <w:szCs w:val="21"/>
          <w:lang w:eastAsia="ru-RU"/>
          <w14:ligatures w14:val="none"/>
        </w:rPr>
      </w:pPr>
    </w:p>
    <w:p w14:paraId="57914476" w14:textId="433C8ADF" w:rsidR="003D1FE2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Фармакологическое действие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  </w:t>
      </w:r>
    </w:p>
    <w:p w14:paraId="4A92D579" w14:textId="77777777" w:rsidR="002F1286" w:rsidRPr="00546916" w:rsidRDefault="002F1286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</w:p>
    <w:p w14:paraId="7AFC5AAD" w14:textId="77777777" w:rsidR="003D1FE2" w:rsidRPr="00546916" w:rsidRDefault="003D1FE2" w:rsidP="003D1FE2">
      <w:pPr>
        <w:spacing w:before="75" w:after="75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0"/>
          <w:szCs w:val="20"/>
          <w:lang w:eastAsia="ru-RU"/>
          <w14:ligatures w14:val="none"/>
        </w:rPr>
        <w:t>Механизм действия и фармакодинамические свойства</w:t>
      </w:r>
    </w:p>
    <w:p w14:paraId="3E2F89B2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Фармакологические свойства обусловлены биологически активными веществами, входящими в состав препарата.</w:t>
      </w:r>
    </w:p>
    <w:p w14:paraId="40C24C67" w14:textId="066DA9FF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proofErr w:type="spellStart"/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Проецин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vertAlign w:val="superscript"/>
          <w:lang w:eastAsia="ru-RU"/>
          <w14:ligatures w14:val="none"/>
        </w:rPr>
        <w:t>®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 оказывает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секретолитическое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секретомоторное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, противовоспалительное, противоотечное, умеренное антибактериальное и противовирусное действие. Способствует оттоку экссудата из придаточных пазух носа и верхних дыхательных путей, предупреждая развитие осложнений.</w:t>
      </w:r>
    </w:p>
    <w:p w14:paraId="6B7F2085" w14:textId="1FEA2816" w:rsidR="003D1FE2" w:rsidRPr="002F1286" w:rsidRDefault="003D1FE2" w:rsidP="003D1FE2">
      <w:pPr>
        <w:spacing w:before="75" w:after="75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lang w:eastAsia="ru-RU"/>
          <w14:ligatures w14:val="none"/>
        </w:rPr>
      </w:pPr>
    </w:p>
    <w:p w14:paraId="0BFFF178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070F8EBF" w14:textId="0D97783F" w:rsidR="003D1FE2" w:rsidRPr="00546916" w:rsidRDefault="002F1286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lastRenderedPageBreak/>
        <w:t xml:space="preserve"> </w:t>
      </w:r>
      <w:r w:rsidR="003D1FE2"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Показания препарата </w:t>
      </w:r>
      <w:proofErr w:type="spellStart"/>
      <w:r w:rsidR="002E779E"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Проецин</w:t>
      </w:r>
      <w:proofErr w:type="spellEnd"/>
      <w:r w:rsidR="003D1FE2"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vertAlign w:val="superscript"/>
          <w:lang w:eastAsia="ru-RU"/>
          <w14:ligatures w14:val="none"/>
        </w:rPr>
        <w:t>®</w:t>
      </w:r>
    </w:p>
    <w:p w14:paraId="7AE3F5BF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Взрослым и детям от 6 лет и старше при:</w:t>
      </w:r>
    </w:p>
    <w:p w14:paraId="1657A1B7" w14:textId="77777777" w:rsidR="003D1FE2" w:rsidRPr="00546916" w:rsidRDefault="003D1FE2" w:rsidP="003D1FE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остром и хроническом синусите (риносинусите), сопровождающемся образованием вязкого секрета.</w:t>
      </w:r>
    </w:p>
    <w:p w14:paraId="4C001289" w14:textId="75108EF5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Режим дозирования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.</w:t>
      </w:r>
    </w:p>
    <w:p w14:paraId="39D3DD5F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Принимают внутрь, не разжевывая, запивая небольшим количеством воды, независимо от приема пищи.</w:t>
      </w:r>
    </w:p>
    <w:p w14:paraId="0FE069EB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Рекомендуемая доза: 3 раза/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сут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(утром, днем и вечером) в соответствии с приведенной ниже таблицей.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1875"/>
        <w:gridCol w:w="2105"/>
      </w:tblGrid>
      <w:tr w:rsidR="003D1FE2" w:rsidRPr="003D1FE2" w14:paraId="0BB5FC3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4C1F22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532F20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Разовая доза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4394F4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Суточная доза</w:t>
            </w:r>
          </w:p>
        </w:tc>
      </w:tr>
      <w:tr w:rsidR="003D1FE2" w:rsidRPr="003D1FE2" w14:paraId="320F3D8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992D22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Дети в возрасте от 6 до 11 лет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654DD1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таблетка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6703F2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таблетки</w:t>
            </w:r>
          </w:p>
        </w:tc>
      </w:tr>
      <w:tr w:rsidR="003D1FE2" w:rsidRPr="003D1FE2" w14:paraId="351A7570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B7F2A8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Дети в возрасте старше 12 лет и взрослые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E4DA9D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таблетки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A3B318" w14:textId="77777777" w:rsidR="003D1FE2" w:rsidRPr="003D1FE2" w:rsidRDefault="003D1FE2" w:rsidP="003D1FE2">
            <w:pPr>
              <w:spacing w:before="75" w:after="75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1FE2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 таблеток</w:t>
            </w:r>
          </w:p>
        </w:tc>
      </w:tr>
    </w:tbl>
    <w:p w14:paraId="53181BBC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Длительность курса лечения составляет 7-14 дней. Увеличение продолжительности и проведение повторных курсов лечения возможно по рекомендации врача.</w:t>
      </w:r>
    </w:p>
    <w:p w14:paraId="5EECD12A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Необходимо проинформировать пациента о том, что, если через 7-14 дней лечения улучшения не наступает или симптомы усугубляются, или появляются новые симптомы, необходимо проконсультироваться с врачом.</w:t>
      </w:r>
    </w:p>
    <w:p w14:paraId="4AA1835F" w14:textId="77777777" w:rsidR="00546916" w:rsidRPr="003D1FE2" w:rsidRDefault="00546916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E21183E" w14:textId="77777777" w:rsidR="003D1FE2" w:rsidRPr="00546916" w:rsidRDefault="003D1FE2" w:rsidP="003D1FE2">
      <w:pPr>
        <w:spacing w:before="75" w:after="75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0"/>
          <w:szCs w:val="20"/>
          <w:lang w:eastAsia="ru-RU"/>
          <w14:ligatures w14:val="none"/>
        </w:rPr>
        <w:t>Дети</w:t>
      </w:r>
    </w:p>
    <w:p w14:paraId="16ABD027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Безопасность и эффективность у </w:t>
      </w:r>
      <w:r w:rsidRPr="003D1FE2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ru-RU"/>
          <w14:ligatures w14:val="none"/>
        </w:rPr>
        <w:t>детей в возрасте от 0 до 6 лет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на настоящий момент не установлены. Данные отсутствуют.</w:t>
      </w:r>
    </w:p>
    <w:p w14:paraId="716CE40F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85D2289" w14:textId="77777777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Побочное действие</w:t>
      </w:r>
    </w:p>
    <w:p w14:paraId="6EC1205D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 стороны иммунной системы: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нечасто - местные аллергические реакции (кожная сыпь, покраснение кожи, зуд); неизвестно - системные аллергические реакции (ангионевротический отек, отек лица).</w:t>
      </w:r>
    </w:p>
    <w:p w14:paraId="0203807B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 стороны дыхательной системы, органов грудной клетки и средостения: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неизвестно - одышка.</w:t>
      </w:r>
    </w:p>
    <w:p w14:paraId="5B64A95A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 стороны ЖКТ: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нечасто - тошнота, боль в эпигастральной области.</w:t>
      </w:r>
    </w:p>
    <w:p w14:paraId="3FC1C427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ru-RU"/>
          <w14:ligatures w14:val="none"/>
        </w:rPr>
        <w:t>Сообщение о подозреваемых нежелательных реакциях</w:t>
      </w:r>
    </w:p>
    <w:p w14:paraId="078EF093" w14:textId="36156B7F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"польза-риск" лекарственного препарата</w:t>
      </w:r>
      <w:r w:rsidR="00947CD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42D9B409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1AFFA2B" w14:textId="77777777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Противопоказания к применению</w:t>
      </w:r>
    </w:p>
    <w:p w14:paraId="271CF108" w14:textId="77777777" w:rsidR="003D1FE2" w:rsidRPr="003D1FE2" w:rsidRDefault="003D1FE2" w:rsidP="003D1FE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повышенная чувствительность к активным компонентам препарата и/или к любому из вспомогательных веществ, входящих в состав препарата.</w:t>
      </w:r>
    </w:p>
    <w:p w14:paraId="1C57763B" w14:textId="77777777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Применение при беременности и кормлении грудью</w:t>
      </w:r>
    </w:p>
    <w:p w14:paraId="625F835B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Беременность</w:t>
      </w:r>
    </w:p>
    <w:p w14:paraId="053F36AB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Применение препарата при беременности возможно только по назначению врача.</w:t>
      </w:r>
    </w:p>
    <w:p w14:paraId="6520F438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Период грудного вскармливания</w:t>
      </w:r>
    </w:p>
    <w:p w14:paraId="3C45E7BA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Препарат не рекомендуется принимать в период грудного вскармливания (в связи с отсутствием опыта его клинического применения).</w:t>
      </w:r>
    </w:p>
    <w:p w14:paraId="60D7AD2D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Фертильность</w:t>
      </w:r>
    </w:p>
    <w:p w14:paraId="4D1B72AF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Данные о влиянии препарата на фертильность отсутствуют.</w:t>
      </w:r>
    </w:p>
    <w:p w14:paraId="6E094D96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10B8D86" w14:textId="77777777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lastRenderedPageBreak/>
        <w:t>Применение у детей</w:t>
      </w:r>
    </w:p>
    <w:p w14:paraId="23412160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Противопоказан детям в возрасте до 6 лет (из-за недостаточности клинических данных).</w:t>
      </w:r>
    </w:p>
    <w:p w14:paraId="7067A34B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4AA3599" w14:textId="77777777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Особые указания</w:t>
      </w:r>
    </w:p>
    <w:p w14:paraId="60D6DA43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Необходимо проинформировать пациента о том, что, если через 7-14 дней лечения улучшения не наступает или симптомы усугубляются, или появляются новые симптомы, необходимо проконсультироваться с врачом.</w:t>
      </w:r>
    </w:p>
    <w:p w14:paraId="2D803893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В случае, если у пациента появились носовые кровотечения, лихорадка, сильные головные или лицевые боли, гнойные выделения из носа, нарушение зрения, асимметрия средней части лица или глаз или онемение лица, необходимо обратиться за консультацией к врачу, поскольку перечисленные симптомы считаются серьезными для всех форм риносинуситов, что требует проведения обследования и срочного лечения.</w:t>
      </w:r>
    </w:p>
    <w:p w14:paraId="2B071906" w14:textId="279456B2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Пациентам с гастритом и другими заболеваниями желудочно-кишечного тракта в фазе обострения и пациентам с чувствительным желудком рекомендуется принимать препарат </w:t>
      </w:r>
      <w:proofErr w:type="spellStart"/>
      <w:r w:rsidR="00947CD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Проецин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vertAlign w:val="superscript"/>
          <w:lang w:eastAsia="ru-RU"/>
          <w14:ligatures w14:val="none"/>
        </w:rPr>
        <w:t>®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с осторожностью, желательно после еды, запивая стаканом воды.</w:t>
      </w:r>
    </w:p>
    <w:p w14:paraId="4A57C8CE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Вспомогательные вещества</w:t>
      </w:r>
    </w:p>
    <w:p w14:paraId="24BF6792" w14:textId="42C34E8B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Пациентам с редкой наследственной непереносимостью фруктозы, непереносимостью галактозы, дефицитом лактазы, глюкозо-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галактозной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мальабсорбцией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или </w:t>
      </w:r>
      <w:proofErr w:type="spellStart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сахаразо-изомальтазной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недостаточностью не следует принимать препарат, таблетки, покрытые оболочкой. Возможен прием препарата в лекарственных формах капли для приема внутрь или сироп, которые не содержат вышеуказанные сахара.</w:t>
      </w:r>
    </w:p>
    <w:p w14:paraId="5DF5129F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Информация для </w:t>
      </w: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пациентов с сахарным диабетом: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одна таблетка, покрытая оболочкой, содержит 0.01 ХЕ.</w:t>
      </w:r>
    </w:p>
    <w:p w14:paraId="1DD83BA6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Влияние на способность к управлению транспортными средствами и механизмами</w:t>
      </w:r>
    </w:p>
    <w:p w14:paraId="0B7519A3" w14:textId="78540004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При применении в рекомендуемых дозах препарат </w:t>
      </w:r>
      <w:proofErr w:type="spellStart"/>
      <w:r w:rsidR="00947CD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</w:t>
      </w:r>
      <w:r w:rsidR="00DC77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о</w:t>
      </w:r>
      <w:r w:rsidR="00947CD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ецин</w:t>
      </w:r>
      <w:proofErr w:type="spellEnd"/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vertAlign w:val="superscript"/>
          <w:lang w:eastAsia="ru-RU"/>
          <w14:ligatures w14:val="none"/>
        </w:rPr>
        <w:t>®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не оказывает влияния на способность к выполнению потенциально опасных видов деятельности, требующих повышенной концентрации внимания и быстроты психомоторных реакций (управление транспортными средствами, работа с движущимися механизмами, работа диспетчера и оператора).</w:t>
      </w:r>
    </w:p>
    <w:p w14:paraId="26ADE5C2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26653CE3" w14:textId="3B4601E4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Передозировка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.</w:t>
      </w:r>
    </w:p>
    <w:p w14:paraId="14DD8C8F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До настоящего времени случаи передозировки при применении препарата не зарегистрированы.</w:t>
      </w:r>
    </w:p>
    <w:p w14:paraId="1266175A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Симптомы: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возможно усиление выраженности дозозависимых побочных эффектов.</w:t>
      </w:r>
    </w:p>
    <w:p w14:paraId="719AA385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Лечение:</w:t>
      </w: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проведение симптоматической терапии.</w:t>
      </w:r>
    </w:p>
    <w:p w14:paraId="4DD8F1D2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4801EA0" w14:textId="37B52480" w:rsidR="003D1FE2" w:rsidRPr="00546916" w:rsidRDefault="003D1FE2" w:rsidP="003D1FE2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Лекарственное взаимодействие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.</w:t>
      </w:r>
    </w:p>
    <w:p w14:paraId="5223BCF6" w14:textId="77777777" w:rsidR="003D1FE2" w:rsidRP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Комбинация с антибактериальными лекарственными средствами возможна и целесообразна.</w:t>
      </w:r>
    </w:p>
    <w:p w14:paraId="4015053B" w14:textId="77777777" w:rsidR="003D1FE2" w:rsidRDefault="003D1FE2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3D1FE2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Взаимодействие с другими лекарственными средствами до настоящего времени неизвестно.</w:t>
      </w:r>
    </w:p>
    <w:p w14:paraId="718C6244" w14:textId="77777777" w:rsidR="00DC77EE" w:rsidRPr="003D1FE2" w:rsidRDefault="00DC77EE" w:rsidP="003D1FE2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6F19864" w14:textId="1B12B4F7" w:rsidR="00DC77EE" w:rsidRPr="00546916" w:rsidRDefault="00DC77EE" w:rsidP="00DC77EE">
      <w:pPr>
        <w:spacing w:before="30" w:after="45"/>
        <w:outlineLvl w:val="1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vertAlign w:val="superscript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Условия хранения </w:t>
      </w:r>
      <w:proofErr w:type="gramStart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препарата 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.</w:t>
      </w:r>
      <w:proofErr w:type="gramEnd"/>
    </w:p>
    <w:p w14:paraId="4D70004E" w14:textId="77777777" w:rsidR="00DC77EE" w:rsidRDefault="00DC77EE" w:rsidP="00DC77EE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Препарат следует хранить в недоступном для детей месте при температуре не выше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25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°C.</w:t>
      </w:r>
    </w:p>
    <w:p w14:paraId="5CC89137" w14:textId="77777777" w:rsidR="00DC77EE" w:rsidRPr="00C70CE3" w:rsidRDefault="00DC77EE" w:rsidP="00DC77EE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2059EA55" w14:textId="71DBDF4E" w:rsidR="00546916" w:rsidRDefault="00DC77EE" w:rsidP="00546916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Срок годности </w:t>
      </w:r>
      <w:proofErr w:type="gramStart"/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 xml:space="preserve">препарата </w:t>
      </w:r>
      <w:r w:rsidR="002F128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.</w:t>
      </w:r>
      <w:proofErr w:type="gramEnd"/>
    </w:p>
    <w:p w14:paraId="33BA24EE" w14:textId="67CC36A9" w:rsidR="00DC77EE" w:rsidRDefault="00DC77EE" w:rsidP="00546916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Срок годности -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2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года. </w:t>
      </w:r>
    </w:p>
    <w:p w14:paraId="0727898B" w14:textId="77777777" w:rsidR="00DC77EE" w:rsidRDefault="00DC77EE" w:rsidP="00DC77EE">
      <w:pPr>
        <w:spacing w:after="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Не применять по истечении срока годности.</w:t>
      </w:r>
    </w:p>
    <w:p w14:paraId="12D44D20" w14:textId="77777777" w:rsidR="00DC77EE" w:rsidRPr="00546916" w:rsidRDefault="00DC77EE" w:rsidP="00DC77EE">
      <w:pPr>
        <w:spacing w:after="0"/>
        <w:rPr>
          <w:rFonts w:ascii="Arial" w:eastAsia="Times New Roman" w:hAnsi="Arial" w:cs="Arial"/>
          <w:color w:val="1F3864" w:themeColor="accent5" w:themeShade="80"/>
          <w:kern w:val="0"/>
          <w:sz w:val="20"/>
          <w:szCs w:val="20"/>
          <w:lang w:eastAsia="ru-RU"/>
          <w14:ligatures w14:val="none"/>
        </w:rPr>
      </w:pPr>
    </w:p>
    <w:p w14:paraId="759F7DDE" w14:textId="77777777" w:rsidR="00DC77EE" w:rsidRPr="00546916" w:rsidRDefault="00DC77EE" w:rsidP="00DC77EE">
      <w:pPr>
        <w:spacing w:before="30" w:after="45"/>
        <w:outlineLvl w:val="1"/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</w:pPr>
      <w:r w:rsidRPr="00546916">
        <w:rPr>
          <w:rFonts w:ascii="Arial" w:eastAsia="Times New Roman" w:hAnsi="Arial" w:cs="Arial"/>
          <w:b/>
          <w:bCs/>
          <w:color w:val="1F3864" w:themeColor="accent5" w:themeShade="80"/>
          <w:kern w:val="0"/>
          <w:sz w:val="23"/>
          <w:szCs w:val="23"/>
          <w:lang w:eastAsia="ru-RU"/>
          <w14:ligatures w14:val="none"/>
        </w:rPr>
        <w:t>Условия реализации</w:t>
      </w:r>
    </w:p>
    <w:p w14:paraId="02ACA52A" w14:textId="17494B56" w:rsidR="00DC77EE" w:rsidRDefault="00DC77EE" w:rsidP="00DC77E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Препарат отпускают без рецепта</w:t>
      </w:r>
      <w:r w:rsidR="002F1286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3448E4F2" w14:textId="77777777" w:rsidR="00DC77EE" w:rsidRDefault="00DC77EE" w:rsidP="00DC77E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6B83E397" w14:textId="77777777" w:rsidR="00DC77EE" w:rsidRPr="00546916" w:rsidRDefault="00DC77EE" w:rsidP="00DC77EE">
      <w:pPr>
        <w:spacing w:after="0"/>
        <w:rPr>
          <w:rFonts w:ascii="Arial" w:hAnsi="Arial" w:cs="Arial"/>
          <w:b/>
          <w:color w:val="1F3864" w:themeColor="accent5" w:themeShade="80"/>
          <w:sz w:val="23"/>
          <w:szCs w:val="23"/>
        </w:rPr>
      </w:pPr>
      <w:r w:rsidRPr="00546916">
        <w:rPr>
          <w:rFonts w:ascii="Arial" w:hAnsi="Arial" w:cs="Arial"/>
          <w:b/>
          <w:color w:val="1F3864" w:themeColor="accent5" w:themeShade="80"/>
          <w:sz w:val="23"/>
          <w:szCs w:val="23"/>
        </w:rPr>
        <w:t>Производитель:</w:t>
      </w:r>
    </w:p>
    <w:p w14:paraId="3DBF1A3B" w14:textId="77777777" w:rsidR="00DC77EE" w:rsidRPr="00C73B80" w:rsidRDefault="00DC77EE" w:rsidP="00DC77EE">
      <w:pPr>
        <w:spacing w:after="0"/>
        <w:rPr>
          <w:rFonts w:ascii="Arial" w:hAnsi="Arial" w:cs="Arial"/>
          <w:sz w:val="20"/>
          <w:szCs w:val="20"/>
        </w:rPr>
      </w:pPr>
      <w:r w:rsidRPr="00C73B80">
        <w:rPr>
          <w:rFonts w:ascii="Arial" w:hAnsi="Arial" w:cs="Arial"/>
          <w:sz w:val="20"/>
          <w:szCs w:val="20"/>
        </w:rPr>
        <w:t>ООО " SPRING PHARMACEUTIC " СП Великобритания.</w:t>
      </w:r>
    </w:p>
    <w:p w14:paraId="675E255E" w14:textId="77777777" w:rsidR="00DC77EE" w:rsidRPr="00C73B80" w:rsidRDefault="00DC77EE" w:rsidP="00DC77EE">
      <w:pPr>
        <w:spacing w:after="0"/>
        <w:rPr>
          <w:rFonts w:ascii="Arial" w:hAnsi="Arial" w:cs="Arial"/>
          <w:sz w:val="20"/>
          <w:szCs w:val="20"/>
        </w:rPr>
      </w:pPr>
    </w:p>
    <w:p w14:paraId="21CC827C" w14:textId="77777777" w:rsidR="00DC77EE" w:rsidRPr="00546916" w:rsidRDefault="00DC77EE" w:rsidP="00DC77EE">
      <w:pPr>
        <w:spacing w:after="0"/>
        <w:rPr>
          <w:rFonts w:ascii="Arial" w:hAnsi="Arial" w:cs="Arial"/>
          <w:b/>
          <w:color w:val="1F3864" w:themeColor="accent5" w:themeShade="80"/>
          <w:sz w:val="23"/>
          <w:szCs w:val="23"/>
        </w:rPr>
      </w:pPr>
      <w:r w:rsidRPr="00546916">
        <w:rPr>
          <w:rFonts w:ascii="Arial" w:hAnsi="Arial" w:cs="Arial"/>
          <w:b/>
          <w:color w:val="1F3864" w:themeColor="accent5" w:themeShade="80"/>
          <w:sz w:val="23"/>
          <w:szCs w:val="23"/>
        </w:rPr>
        <w:t>Местонахождение производителя и адрес места осуществления деятельности:</w:t>
      </w:r>
    </w:p>
    <w:p w14:paraId="1D9D61A6" w14:textId="6B9E04C7" w:rsidR="00DC77EE" w:rsidRPr="00C73B80" w:rsidRDefault="00DC77EE" w:rsidP="00DC77EE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C73B80">
        <w:rPr>
          <w:rFonts w:ascii="Arial" w:hAnsi="Arial" w:cs="Arial"/>
          <w:sz w:val="20"/>
          <w:szCs w:val="20"/>
        </w:rPr>
        <w:t>Республика  Узбекистан</w:t>
      </w:r>
      <w:proofErr w:type="gramEnd"/>
      <w:r w:rsidRPr="00C73B80">
        <w:rPr>
          <w:rFonts w:ascii="Arial" w:hAnsi="Arial" w:cs="Arial"/>
          <w:sz w:val="20"/>
          <w:szCs w:val="20"/>
        </w:rPr>
        <w:t xml:space="preserve"> , Наманганская область, </w:t>
      </w:r>
      <w:proofErr w:type="spellStart"/>
      <w:r w:rsidRPr="00C73B80">
        <w:rPr>
          <w:rFonts w:ascii="Arial" w:hAnsi="Arial" w:cs="Arial"/>
          <w:sz w:val="20"/>
          <w:szCs w:val="20"/>
        </w:rPr>
        <w:t>Касансайский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 район, </w:t>
      </w:r>
      <w:proofErr w:type="spellStart"/>
      <w:r w:rsidRPr="00C73B80">
        <w:rPr>
          <w:rFonts w:ascii="Arial" w:hAnsi="Arial" w:cs="Arial"/>
          <w:sz w:val="20"/>
          <w:szCs w:val="20"/>
        </w:rPr>
        <w:t>Кукимбой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3B80">
        <w:rPr>
          <w:rFonts w:ascii="Arial" w:hAnsi="Arial" w:cs="Arial"/>
          <w:sz w:val="20"/>
          <w:szCs w:val="20"/>
        </w:rPr>
        <w:t>Навбахор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 МСГ, улица Булак, дом 129.  </w:t>
      </w:r>
      <w:r w:rsidR="002F12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73B80">
        <w:rPr>
          <w:rFonts w:ascii="Arial" w:hAnsi="Arial" w:cs="Arial"/>
          <w:sz w:val="20"/>
          <w:szCs w:val="20"/>
        </w:rPr>
        <w:t>Тел. :</w:t>
      </w:r>
      <w:proofErr w:type="gramEnd"/>
      <w:r w:rsidRPr="00C73B80">
        <w:rPr>
          <w:rFonts w:ascii="Arial" w:hAnsi="Arial" w:cs="Arial"/>
          <w:sz w:val="20"/>
          <w:szCs w:val="20"/>
        </w:rPr>
        <w:t xml:space="preserve"> +998996942363</w:t>
      </w:r>
    </w:p>
    <w:p w14:paraId="39B7D32E" w14:textId="77777777" w:rsidR="00DC77EE" w:rsidRPr="00C73B80" w:rsidRDefault="00DC77EE" w:rsidP="00DC77EE">
      <w:pPr>
        <w:spacing w:after="0"/>
        <w:rPr>
          <w:rFonts w:ascii="Arial" w:eastAsia="Calibri" w:hAnsi="Arial" w:cs="Arial"/>
          <w:sz w:val="20"/>
          <w:szCs w:val="20"/>
          <w:lang w:eastAsia="ru-RU"/>
        </w:rPr>
      </w:pPr>
    </w:p>
    <w:p w14:paraId="5C2D5630" w14:textId="77777777" w:rsidR="00DC77EE" w:rsidRPr="00C70CE3" w:rsidRDefault="00DC77EE" w:rsidP="00DC77E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2505E68" w14:textId="77777777" w:rsidR="00DC77EE" w:rsidRDefault="00DC77EE" w:rsidP="00DC77EE">
      <w:pPr>
        <w:spacing w:after="0"/>
        <w:ind w:firstLine="709"/>
        <w:jc w:val="both"/>
      </w:pPr>
    </w:p>
    <w:p w14:paraId="3CEBB3C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DC7"/>
    <w:multiLevelType w:val="multilevel"/>
    <w:tmpl w:val="450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B6C9E"/>
    <w:multiLevelType w:val="multilevel"/>
    <w:tmpl w:val="686C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808062">
    <w:abstractNumId w:val="1"/>
  </w:num>
  <w:num w:numId="2" w16cid:durableId="43020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7A"/>
    <w:rsid w:val="002E779E"/>
    <w:rsid w:val="002F1286"/>
    <w:rsid w:val="003D1FE2"/>
    <w:rsid w:val="004263E3"/>
    <w:rsid w:val="00546916"/>
    <w:rsid w:val="005C2C7A"/>
    <w:rsid w:val="005D1E4A"/>
    <w:rsid w:val="006404E3"/>
    <w:rsid w:val="006C0B77"/>
    <w:rsid w:val="008076E2"/>
    <w:rsid w:val="008242FF"/>
    <w:rsid w:val="00870751"/>
    <w:rsid w:val="00903A4E"/>
    <w:rsid w:val="00922C48"/>
    <w:rsid w:val="00947CD2"/>
    <w:rsid w:val="0095489E"/>
    <w:rsid w:val="009D150A"/>
    <w:rsid w:val="00B915B7"/>
    <w:rsid w:val="00CF0AD0"/>
    <w:rsid w:val="00D9356F"/>
    <w:rsid w:val="00DC77EE"/>
    <w:rsid w:val="00EA59DF"/>
    <w:rsid w:val="00ED28D2"/>
    <w:rsid w:val="00EE4070"/>
    <w:rsid w:val="00F12C76"/>
    <w:rsid w:val="00F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09E4"/>
  <w15:chartTrackingRefBased/>
  <w15:docId w15:val="{8313AA2D-BA90-4C0D-BAF8-68029426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2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C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C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C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2C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2C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2C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2C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2C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2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C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2C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C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C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C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2C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l.ru/drugs/pharm-group/1713" TargetMode="External"/><Relationship Id="rId5" Type="http://schemas.openxmlformats.org/officeDocument/2006/relationships/hyperlink" Target="https://www.vidal.ru/drugs/clinic-group/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17</cp:revision>
  <dcterms:created xsi:type="dcterms:W3CDTF">2026-01-28T18:16:00Z</dcterms:created>
  <dcterms:modified xsi:type="dcterms:W3CDTF">2026-02-18T16:12:00Z</dcterms:modified>
</cp:coreProperties>
</file>